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  <w:lang w:val="en-US" w:eastAsia="zh-CN"/>
        </w:rPr>
        <w:t>2023</w:t>
      </w: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年度专项工程信息公开表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671"/>
        <w:gridCol w:w="1766"/>
        <w:gridCol w:w="2074"/>
        <w:gridCol w:w="1624"/>
        <w:gridCol w:w="1600"/>
        <w:gridCol w:w="176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专项工程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实施单位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主要内容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计划工期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合同价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（万元）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采购方式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东莞水道高分子材料浮标推广应用项目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广东省东莞航道事务中心东莞航标与测绘所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本项目共包括20座高分子材料浮标。其中新建18座高分子材料浮标，备用2座高分子材料浮标。新建航标的抛设及原航标的撤除由甲方自行实施，乙方则需运输新建的高分子材料浮标到施工现场。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本工程预算工期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开工令签发之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日起算）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164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竞争性磋商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航标股份有限公司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1276" w:hanging="936"/>
              <w:jc w:val="both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东莞水道高分子材料浮标推广应用项目监理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广东省东莞航道事务中心东莞航标与测绘所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sz w:val="21"/>
                <w:szCs w:val="21"/>
              </w:rPr>
              <w:t>在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项目</w:t>
            </w:r>
            <w:r>
              <w:rPr>
                <w:rFonts w:hint="eastAsia" w:hAnsi="宋体"/>
                <w:sz w:val="21"/>
                <w:szCs w:val="21"/>
              </w:rPr>
              <w:t>施工阶段对建设工程质量、进度、造价进行控制，对合同、信息进行管理，对工程建设相关方的关系进行协调，并履行建设工程安全生产管理法定职责的服务活动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自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  <w:lang w:val="en-US" w:eastAsia="zh-CN"/>
              </w:rPr>
              <w:t>合同签订之日起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至东莞水道高分子材料浮标推广应用项目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  <w:lang w:val="en-US" w:eastAsia="zh-CN"/>
              </w:rPr>
              <w:t>通过竣工验收之日止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68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通过广东省网上中介服务超市直接选 取方式进行公开选取并经过项目业主确认</w:t>
            </w:r>
            <w:bookmarkStart w:id="0" w:name="_GoBack"/>
            <w:bookmarkEnd w:id="0"/>
          </w:p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广州华申建设工程管理有限公司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1276" w:hanging="936"/>
              <w:jc w:val="both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DhmNDQyMzgzMzJmZjMyNTExNDE5OThlYmE5YmYifQ=="/>
  </w:docVars>
  <w:rsids>
    <w:rsidRoot w:val="00000000"/>
    <w:rsid w:val="00AE1C1E"/>
    <w:rsid w:val="0C796C68"/>
    <w:rsid w:val="263151E3"/>
    <w:rsid w:val="2D931C05"/>
    <w:rsid w:val="34B61F58"/>
    <w:rsid w:val="37E959AF"/>
    <w:rsid w:val="38602906"/>
    <w:rsid w:val="43A050CE"/>
    <w:rsid w:val="44B429B0"/>
    <w:rsid w:val="55762F3B"/>
    <w:rsid w:val="570C2270"/>
    <w:rsid w:val="664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419</Characters>
  <Lines>0</Lines>
  <Paragraphs>0</Paragraphs>
  <TotalTime>4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2023-07-19T03:05:00Z</dcterms:created>
  <dc:creator>Administrator</dc:creator>
  <cp:lastModifiedBy>阿东</cp:lastModifiedBy>
  <dcterms:modified xsi:type="dcterms:W3CDTF">2023-07-19T03:32:24Z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0FC43293E3B446599104BE9DCA19C7C3_12</vt:lpwstr>
  </property>
</Properties>
</file>